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宁南县人民医院关于2022年凉山州公立医疗卫生机构卫生机构集中市场调查目录内设备购置的情况说明</w:t>
      </w:r>
    </w:p>
    <w:p>
      <w:pPr>
        <w:keepNext w:val="0"/>
        <w:keepLines w:val="0"/>
        <w:pageBreakBefore w:val="0"/>
        <w:kinsoku/>
        <w:wordWrap/>
        <w:overflowPunct/>
        <w:topLinePunct w:val="0"/>
        <w:autoSpaceDE/>
        <w:autoSpaceDN/>
        <w:bidi w:val="0"/>
        <w:adjustRightInd/>
        <w:snapToGrid/>
        <w:spacing w:line="600" w:lineRule="exact"/>
        <w:textAlignment w:val="auto"/>
        <w:rPr>
          <w:rFonts w:hint="eastAsia"/>
          <w:sz w:val="32"/>
          <w:szCs w:val="40"/>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宁南县卫生健康局：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凉山州公立医疗卫生机构规范购置重要医疗设备的实施意见（试行）》和《宁南县卫生健康局关于医疗机构医疗设备采购管理办法》（试行）》，宁南县人民医院严格执行州县主管部门的文件精神，规范审批目录内外医疗设备的采购流程。医院确定设备名称、设备类型、确定规格（参数）、采购数量及经费来源，并于2022年6月11日报送采购设备16类。9月19日，医院根据反馈的《宁南县集中市场调查推荐设备文件》在招标准备过程中发现问题，现汇报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Chars="200" w:right="0" w:rightChars="0" w:firstLine="321" w:firstLineChars="1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一、发现问题汇总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（一）双能X线骨密度仪。</w:t>
      </w:r>
      <w:r>
        <w:rPr>
          <w:rFonts w:hint="eastAsia" w:ascii="仿宋" w:hAnsi="仿宋" w:eastAsia="仿宋" w:cs="仿宋"/>
          <w:sz w:val="32"/>
          <w:szCs w:val="40"/>
          <w:lang w:val="en-US" w:eastAsia="zh-CN"/>
        </w:rPr>
        <w:t>2022年5月6日，我院首次报送的“七大类设备购置需求统计表”设备之一“双能X线骨密度仪”应为影像诊断设备，宁南县人民医院拟购国产品牌辛宇宏、预算金额60万元。6月11日，第二次填写购置统计表过程中，要求设备名称栏只能填写“数字X线摄影（DR）”，发现问题，医学装备科立即电话请示州县主管部门，回复“暂时按数字X线摄影（DR）填报，把拟购品牌及规格（参数）按医院采购需求详细填写报送”，因此，我院报送的是“数字X线摄影（DR）”，医院实际采购需求应为“双能X线骨密度仪”。</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（二）连续肾脏替代治疗系统（CRRT）。</w:t>
      </w:r>
      <w:r>
        <w:rPr>
          <w:rFonts w:hint="eastAsia" w:ascii="仿宋" w:hAnsi="仿宋" w:eastAsia="仿宋" w:cs="仿宋"/>
          <w:sz w:val="32"/>
          <w:szCs w:val="40"/>
          <w:lang w:val="en-US" w:eastAsia="zh-CN"/>
        </w:rPr>
        <w:t>2022年5月6日，我院首次报送的“七大类设备购置需求统计表”设备之一“连续肾脏替代治疗系统（CRRT）”应为血液透析设备，宁南县人民医院拟购国产品牌健帆、预算金额47万元。6月11日，第二次填写购置统计表过程中，要求设备名称栏只能填写“血液透析机”，发现问题，医学装备科立即电话请示州县主管部门，回复“暂时按血液透析机填报，把拟购品牌及规格（参数）按医院采购需求详细填写报送”，因此，我院报送的是“血液透析机”，医院实际采购需求应为“连续肾脏替代治疗系统（CRR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w:t>
      </w:r>
      <w:r>
        <w:rPr>
          <w:rFonts w:hint="eastAsia" w:ascii="仿宋" w:hAnsi="仿宋" w:eastAsia="仿宋" w:cs="仿宋"/>
          <w:b/>
          <w:bCs/>
          <w:sz w:val="32"/>
          <w:szCs w:val="40"/>
          <w:lang w:val="en-US" w:eastAsia="zh-CN"/>
        </w:rPr>
        <w:t>空气消毒机。</w:t>
      </w:r>
      <w:r>
        <w:rPr>
          <w:rFonts w:hint="eastAsia" w:ascii="仿宋" w:hAnsi="仿宋" w:eastAsia="仿宋" w:cs="仿宋"/>
          <w:sz w:val="32"/>
          <w:szCs w:val="40"/>
          <w:lang w:val="en-US" w:eastAsia="zh-CN"/>
        </w:rPr>
        <w:t>空气消毒机和床单位消毒机作为病房基本护理设备之一，保证医院病房动态状态下空气质量符合消毒卫生标准要求，涉及医疗安全，是感染控制与管理的重要内容，在医院具有分布广、数量多、使用频率高等特点，曾于5月6日和6月11日，两次购置统计表宁南县人民医院拟购均为国产品牌成都肯格王、各类型号合计62台、预算金额44.25万元。9月19日反馈的推荐名单空气消毒机只有生命之紫一个品牌，宁南人民医院根据近两年临床使用该品牌空气消毒机经验，与医院现有主流品牌成都肯格王相比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（1）生命之紫空气消毒机：</w:t>
      </w:r>
      <w:r>
        <w:rPr>
          <w:rFonts w:hint="eastAsia" w:ascii="仿宋" w:hAnsi="仿宋" w:eastAsia="仿宋" w:cs="仿宋"/>
          <w:sz w:val="32"/>
          <w:szCs w:val="40"/>
          <w:lang w:val="en-US" w:eastAsia="zh-CN"/>
        </w:rPr>
        <w:t>州卫健局推荐品牌生命之紫各型号</w:t>
      </w:r>
      <w:bookmarkStart w:id="0" w:name="_GoBack"/>
      <w:bookmarkEnd w:id="0"/>
      <w:r>
        <w:rPr>
          <w:rFonts w:hint="eastAsia" w:ascii="仿宋" w:hAnsi="仿宋" w:eastAsia="仿宋" w:cs="仿宋"/>
          <w:sz w:val="32"/>
          <w:szCs w:val="40"/>
          <w:lang w:val="en-US" w:eastAsia="zh-CN"/>
        </w:rPr>
        <w:t>空气消毒机采购指导价格较价格低，是该品牌的绝对优势。2021年2月至2022年5月，共采购生命之紫S100型空气消毒机合计12台，其中：宁南县人民医院7台、医学隔离观察点采购5台。到目前使用情况及维护情况汇总：</w:t>
      </w:r>
      <w:r>
        <w:rPr>
          <w:rFonts w:hint="eastAsia" w:ascii="黑体" w:hAnsi="黑体" w:eastAsia="黑体" w:cs="黑体"/>
          <w:b w:val="0"/>
          <w:bCs w:val="0"/>
          <w:sz w:val="32"/>
          <w:szCs w:val="40"/>
          <w:lang w:val="en-US" w:eastAsia="zh-CN"/>
        </w:rPr>
        <w:t>一是，</w:t>
      </w:r>
      <w:r>
        <w:rPr>
          <w:rFonts w:hint="eastAsia" w:ascii="仿宋" w:hAnsi="仿宋" w:eastAsia="仿宋" w:cs="仿宋"/>
          <w:sz w:val="32"/>
          <w:szCs w:val="40"/>
          <w:lang w:val="en-US" w:eastAsia="zh-CN"/>
        </w:rPr>
        <w:t>该消毒机出风量小、风速少（风扇使用的是6厘米直径电脑主机散热风扇），实际单独使用一台机器80m</w:t>
      </w:r>
      <w:r>
        <w:rPr>
          <w:rFonts w:hint="eastAsia" w:ascii="仿宋" w:hAnsi="仿宋" w:eastAsia="仿宋" w:cs="仿宋"/>
          <w:sz w:val="32"/>
          <w:szCs w:val="40"/>
          <w:vertAlign w:val="superscript"/>
          <w:lang w:val="en-US" w:eastAsia="zh-CN"/>
        </w:rPr>
        <w:t>3</w:t>
      </w:r>
      <w:r>
        <w:rPr>
          <w:rFonts w:hint="eastAsia" w:ascii="仿宋" w:hAnsi="仿宋" w:eastAsia="仿宋" w:cs="仿宋"/>
          <w:sz w:val="32"/>
          <w:szCs w:val="40"/>
          <w:lang w:val="en-US" w:eastAsia="zh-CN"/>
        </w:rPr>
        <w:t>以及以上的空气消毒效果监测不达标，必须辅助其他品牌移动式空气消毒机一并消毒。</w:t>
      </w:r>
      <w:r>
        <w:rPr>
          <w:rFonts w:hint="eastAsia" w:ascii="黑体" w:hAnsi="黑体" w:eastAsia="黑体" w:cs="黑体"/>
          <w:b w:val="0"/>
          <w:bCs w:val="0"/>
          <w:sz w:val="32"/>
          <w:szCs w:val="40"/>
          <w:lang w:val="en-US" w:eastAsia="zh-CN"/>
        </w:rPr>
        <w:t>二是，</w:t>
      </w:r>
      <w:r>
        <w:rPr>
          <w:rFonts w:hint="eastAsia" w:ascii="仿宋" w:hAnsi="仿宋" w:eastAsia="仿宋" w:cs="仿宋"/>
          <w:sz w:val="32"/>
          <w:szCs w:val="40"/>
          <w:lang w:val="en-US" w:eastAsia="zh-CN"/>
        </w:rPr>
        <w:t>生命之紫S100型空气消毒机主机维修率低，但是主要易耗配件故障率高，以宁南县人民医院白鹤滩核酸采集点的2台为例，设备调试固定为人机感应模式，2021年4月至2022年4月期间，该机器出现灯管损坏后返厂次数6台次，每次必须更换该品牌的专利产品紫外线灯管950.00元/根、3根/组，更换成本2850元/次，维护费用高。医学隔离观察点原调试的是每天3次，每次1小时的消毒模式，后因紫外线灯管多次毁坏，原包装返厂整机更换2次，供应商建议调试固定为人机感应模式，2022年1月至今，该机器出现灯管故障整机返厂2次，目前，仍有两台备用机等待更换紫外线灯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（2）成都肯格王空气消毒机。</w:t>
      </w:r>
      <w:r>
        <w:rPr>
          <w:rFonts w:hint="eastAsia" w:ascii="仿宋" w:hAnsi="仿宋" w:eastAsia="仿宋" w:cs="仿宋"/>
          <w:sz w:val="32"/>
          <w:szCs w:val="40"/>
          <w:lang w:val="en-US" w:eastAsia="zh-CN"/>
        </w:rPr>
        <w:t>宁南县人民医院申请采购的柜式、移动式、壁挂式成都肯格王空气消毒机和床单位消毒机，目前是我院主流消毒机，从使用情况和维护情况比较，该消毒机由大功率无刷电机驱动，蜗轮式风鼓，出风量大，临床科室几乎没有维修申请，该机器内部3根灯管，有效使用3000小时/根，可独立更换，偶尔换内部紫外灯管价格60元/根。整机维护好的科室，且每年年检合格的机器有超8年限工作的，该机维修成本低及后期维护成本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center"/>
        <w:textAlignment w:val="auto"/>
        <w:rPr>
          <w:rFonts w:hint="default" w:ascii="仿宋" w:hAnsi="仿宋" w:eastAsia="仿宋" w:cs="仿宋"/>
          <w:sz w:val="32"/>
          <w:szCs w:val="40"/>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1312545</wp:posOffset>
                </wp:positionV>
                <wp:extent cx="1143000" cy="288925"/>
                <wp:effectExtent l="0" t="0" r="0" b="15875"/>
                <wp:wrapNone/>
                <wp:docPr id="2" name="文本框 2"/>
                <wp:cNvGraphicFramePr/>
                <a:graphic xmlns:a="http://schemas.openxmlformats.org/drawingml/2006/main">
                  <a:graphicData uri="http://schemas.microsoft.com/office/word/2010/wordprocessingShape">
                    <wps:wsp>
                      <wps:cNvSpPr txBox="1"/>
                      <wps:spPr>
                        <a:xfrm>
                          <a:off x="3832225" y="6235700"/>
                          <a:ext cx="1143000"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专利紫外线灯管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15pt;margin-top:103.35pt;height:22.75pt;width:90pt;z-index:251660288;mso-width-relative:page;mso-height-relative:page;" fillcolor="#FFFFFF [3201]" filled="t" stroked="f" coordsize="21600,21600" o:gfxdata="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1wHeV1QAA&#10;AAsBAAAPAAAAAAAAAAEAIAAAACIAAABkcnMvZG93bnJldi54bWxQSwECFAAUAAAACACHTuJA0rYd&#10;31oCAACbBAAADgAAAAAAAAABACAAAAAkAQAAZHJzL2Uyb0RvYy54bWxQSwUGAAAAAAYABgBZAQAA&#10;8AUAAAAA&#10;">
                <v:fill on="t" focussize="0,0"/>
                <v:stroke on="f" weight="0.5pt"/>
                <v:imagedata o:title=""/>
                <o:lock v:ext="edit" aspectratio="f"/>
                <v:textbox>
                  <w:txbxContent>
                    <w:p>
                      <w:pPr>
                        <w:jc w:val="center"/>
                        <w:rPr>
                          <w:rFonts w:hint="default" w:eastAsiaTheme="minorEastAsia"/>
                          <w:lang w:val="en-US" w:eastAsia="zh-CN"/>
                        </w:rPr>
                      </w:pPr>
                      <w:r>
                        <w:rPr>
                          <w:rFonts w:hint="eastAsia"/>
                          <w:lang w:val="en-US" w:eastAsia="zh-CN"/>
                        </w:rPr>
                        <w:t>专利紫外线灯管</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2872105</wp:posOffset>
                </wp:positionH>
                <wp:positionV relativeFrom="paragraph">
                  <wp:posOffset>1017905</wp:posOffset>
                </wp:positionV>
                <wp:extent cx="438150" cy="293370"/>
                <wp:effectExtent l="0" t="0" r="19050" b="11430"/>
                <wp:wrapNone/>
                <wp:docPr id="1" name="直接箭头连接符 1"/>
                <wp:cNvGraphicFramePr/>
                <a:graphic xmlns:a="http://schemas.openxmlformats.org/drawingml/2006/main">
                  <a:graphicData uri="http://schemas.microsoft.com/office/word/2010/wordprocessingShape">
                    <wps:wsp>
                      <wps:cNvCnPr/>
                      <wps:spPr>
                        <a:xfrm flipH="1" flipV="1">
                          <a:off x="4057650" y="5163820"/>
                          <a:ext cx="438150" cy="293370"/>
                        </a:xfrm>
                        <a:prstGeom prst="straightConnector1">
                          <a:avLst/>
                        </a:prstGeom>
                        <a:ln w="25400">
                          <a:solidFill>
                            <a:srgbClr val="FF0000"/>
                          </a:solidFill>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flip:x y;margin-left:226.15pt;margin-top:80.15pt;height:23.1pt;width:34.5pt;z-index:251659264;mso-width-relative:page;mso-height-relative:page;" filled="f" stroked="t" coordsize="21600,21600" o:gfxdata="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IlQ49gAAAALAQAADwAAAAAAAAABACAAAAAiAAAAZHJzL2Rvd25yZXYueG1sUEsBAhQA&#10;FAAAAAgAh07iQMGpTU0rAgAAFQQAAA4AAAAAAAAAAQAgAAAAJwEAAGRycy9lMm9Eb2MueG1sUEsF&#10;BgAAAAAGAAYAWQEAAMQFAAAAAA==&#10;">
                <v:fill on="f" focussize="0,0"/>
                <v:stroke weight="2pt" color="#FF0000 [3205]" miterlimit="8" joinstyle="miter" endarrow="open"/>
                <v:imagedata o:title=""/>
                <o:lock v:ext="edit" aspectratio="f"/>
              </v:shape>
            </w:pict>
          </mc:Fallback>
        </mc:AlternateContent>
      </w:r>
      <w:r>
        <w:rPr>
          <w:rFonts w:hint="eastAsia" w:eastAsiaTheme="minorEastAsia"/>
          <w:lang w:eastAsia="zh-CN"/>
        </w:rPr>
        <w:drawing>
          <wp:inline distT="0" distB="0" distL="114300" distR="114300">
            <wp:extent cx="3479165" cy="2260600"/>
            <wp:effectExtent l="0" t="0" r="6985" b="6350"/>
            <wp:docPr id="4" name="图片 4" descr="-689e9446a7401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89e9446a7401d10"/>
                    <pic:cNvPicPr>
                      <a:picLocks noChangeAspect="1"/>
                    </pic:cNvPicPr>
                  </pic:nvPicPr>
                  <pic:blipFill>
                    <a:blip r:embed="rId5"/>
                    <a:stretch>
                      <a:fillRect/>
                    </a:stretch>
                  </pic:blipFill>
                  <pic:spPr>
                    <a:xfrm>
                      <a:off x="0" y="0"/>
                      <a:ext cx="3479165" cy="2260600"/>
                    </a:xfrm>
                    <a:prstGeom prst="rect">
                      <a:avLst/>
                    </a:prstGeom>
                  </pic:spPr>
                </pic:pic>
              </a:graphicData>
            </a:graphic>
          </wp:inline>
        </w:drawing>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Fonts w:hint="eastAsia"/>
          <w:sz w:val="24"/>
          <w:szCs w:val="32"/>
          <w:lang w:val="en-US" w:eastAsia="zh-CN"/>
        </w:rPr>
      </w:pPr>
      <w:r>
        <w:rPr>
          <w:rFonts w:hint="eastAsia"/>
          <w:sz w:val="24"/>
          <w:szCs w:val="32"/>
          <w:lang w:val="en-US" w:eastAsia="zh-CN"/>
        </w:rPr>
        <w:t xml:space="preserve">宁南县人民医院采购的生命之紫S100 型外观图片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1471295" cy="2926080"/>
            <wp:effectExtent l="0" t="0" r="1460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471295" cy="292608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医学装备科工作人员就</w:t>
      </w:r>
      <w:r>
        <w:rPr>
          <w:rFonts w:hint="eastAsia"/>
          <w:sz w:val="24"/>
          <w:szCs w:val="32"/>
          <w:lang w:val="en-US" w:eastAsia="zh-CN"/>
        </w:rPr>
        <w:t>生命之紫S100 型紫外线灯管的询价及报价截图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Fonts w:hint="eastAsia" w:ascii="宋体" w:hAnsi="宋体" w:eastAsia="宋体" w:cs="宋体"/>
          <w:sz w:val="24"/>
          <w:szCs w:val="24"/>
          <w:lang w:val="en-US" w:eastAsia="zh-CN"/>
        </w:rPr>
      </w:pPr>
    </w:p>
    <w:p>
      <w:pPr>
        <w:numPr>
          <w:ilvl w:val="0"/>
          <w:numId w:val="0"/>
        </w:numPr>
        <w:tabs>
          <w:tab w:val="left" w:pos="5256"/>
        </w:tabs>
        <w:bidi w:val="0"/>
        <w:ind w:left="216" w:leftChars="103" w:right="-218" w:rightChars="-104" w:firstLine="0" w:firstLineChars="0"/>
        <w:jc w:val="left"/>
        <w:rPr>
          <w:rFonts w:hint="eastAsia"/>
          <w:sz w:val="24"/>
          <w:szCs w:val="32"/>
          <w:lang w:val="en-US" w:eastAsia="zh-CN"/>
        </w:rPr>
      </w:pPr>
      <w:r>
        <w:rPr>
          <w:rFonts w:hint="eastAsia" w:eastAsiaTheme="minorEastAsia"/>
          <w:lang w:eastAsia="zh-CN"/>
          <w14:textFill>
            <w14:noFill/>
          </w14:textFill>
        </w:rPr>
        <w:drawing>
          <wp:inline distT="0" distB="0" distL="114300" distR="114300">
            <wp:extent cx="1304925" cy="2052955"/>
            <wp:effectExtent l="0" t="0" r="9525" b="4445"/>
            <wp:docPr id="7" name="图片 7" descr="~@MYSBM1WWGHR%_NFOB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YSBM1WWGHR%_NFOBMA]B"/>
                    <pic:cNvPicPr>
                      <a:picLocks noChangeAspect="1"/>
                    </pic:cNvPicPr>
                  </pic:nvPicPr>
                  <pic:blipFill>
                    <a:blip r:embed="rId7"/>
                    <a:stretch>
                      <a:fillRect/>
                    </a:stretch>
                  </pic:blipFill>
                  <pic:spPr>
                    <a:xfrm>
                      <a:off x="0" y="0"/>
                      <a:ext cx="1304925" cy="2052955"/>
                    </a:xfrm>
                    <a:prstGeom prst="rect">
                      <a:avLst/>
                    </a:prstGeom>
                  </pic:spPr>
                </pic:pic>
              </a:graphicData>
            </a:graphic>
          </wp:inline>
        </w:drawing>
      </w:r>
      <w:r>
        <w:rPr>
          <w:rFonts w:hint="eastAsia" w:eastAsiaTheme="minorEastAsia"/>
          <w:lang w:eastAsia="zh-CN"/>
        </w:rPr>
        <w:drawing>
          <wp:inline distT="0" distB="0" distL="114300" distR="114300">
            <wp:extent cx="2602865" cy="1266190"/>
            <wp:effectExtent l="0" t="0" r="6985" b="10160"/>
            <wp:docPr id="8" name="图片 8" descr="{3]AMJK`XA5EP6WA`ARB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AMJK`XA5EP6WA`ARBNDU"/>
                    <pic:cNvPicPr>
                      <a:picLocks noChangeAspect="1"/>
                    </pic:cNvPicPr>
                  </pic:nvPicPr>
                  <pic:blipFill>
                    <a:blip r:embed="rId8"/>
                    <a:stretch>
                      <a:fillRect/>
                    </a:stretch>
                  </pic:blipFill>
                  <pic:spPr>
                    <a:xfrm>
                      <a:off x="0" y="0"/>
                      <a:ext cx="2602865" cy="1266190"/>
                    </a:xfrm>
                    <a:prstGeom prst="rect">
                      <a:avLst/>
                    </a:prstGeom>
                  </pic:spPr>
                </pic:pic>
              </a:graphicData>
            </a:graphic>
          </wp:inline>
        </w:drawing>
      </w:r>
      <w:r>
        <w:rPr>
          <w:rFonts w:ascii="宋体" w:hAnsi="宋体" w:eastAsia="宋体" w:cs="宋体"/>
          <w:sz w:val="24"/>
          <w:szCs w:val="24"/>
        </w:rPr>
        <w:drawing>
          <wp:inline distT="0" distB="0" distL="114300" distR="114300">
            <wp:extent cx="1267460" cy="2067560"/>
            <wp:effectExtent l="0" t="0" r="8890" b="889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9"/>
                    <a:stretch>
                      <a:fillRect/>
                    </a:stretch>
                  </pic:blipFill>
                  <pic:spPr>
                    <a:xfrm>
                      <a:off x="0" y="0"/>
                      <a:ext cx="1267460" cy="2067560"/>
                    </a:xfrm>
                    <a:prstGeom prst="rect">
                      <a:avLst/>
                    </a:prstGeom>
                    <a:noFill/>
                    <a:ln w="9525">
                      <a:noFill/>
                    </a:ln>
                  </pic:spPr>
                </pic:pic>
              </a:graphicData>
            </a:graphic>
          </wp:inline>
        </w:drawing>
      </w: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center"/>
        <w:rPr>
          <w:rFonts w:hint="eastAsia"/>
          <w:sz w:val="24"/>
          <w:szCs w:val="32"/>
          <w:lang w:val="en-US" w:eastAsia="zh-CN"/>
        </w:rPr>
      </w:pPr>
      <w:r>
        <w:rPr>
          <w:rFonts w:hint="eastAsia"/>
          <w:sz w:val="24"/>
          <w:szCs w:val="32"/>
          <w:lang w:val="en-US" w:eastAsia="zh-CN"/>
        </w:rPr>
        <w:t>宁南县人民医院通用的成都肯格王空气消毒机外观图</w:t>
      </w:r>
    </w:p>
    <w:p>
      <w:pPr>
        <w:numPr>
          <w:ilvl w:val="0"/>
          <w:numId w:val="0"/>
        </w:numPr>
        <w:tabs>
          <w:tab w:val="left" w:pos="5256"/>
        </w:tabs>
        <w:bidi w:val="0"/>
        <w:jc w:val="both"/>
        <w:rPr>
          <w:rFonts w:hint="eastAsia"/>
          <w:sz w:val="24"/>
          <w:szCs w:val="32"/>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呼吸机。</w:t>
      </w:r>
      <w:r>
        <w:rPr>
          <w:rFonts w:hint="eastAsia" w:ascii="仿宋" w:hAnsi="仿宋" w:eastAsia="仿宋" w:cs="仿宋"/>
          <w:sz w:val="32"/>
          <w:szCs w:val="40"/>
          <w:lang w:val="en-US" w:eastAsia="zh-CN"/>
        </w:rPr>
        <w:t>2022年5月6日，6月11日，宁南县人民医院两次购置统计表宁南县人民医院拟购均为国产品牌深圳迈瑞、SV600型号合计2台、预算金额44万元。反馈表中的成人有创呼吸机、深圳迈瑞、只有SV300和SV800两个机型，医学装备科咨询厂家SV800产品性能，该型号优于医院报送的型号，且现有呼吸管路能通用，反馈申请科室回复，要求增加设备配套的“新生儿呼吸模块”功能模块1组/台，4.5万元/组，合计9万元。厂家/代理回复最高限价是采购裸机的指导价，无配件或功能模块的指导价。医院若要增加配件或软件模块，是否在招标文件中具体明确要求，一并纳入采购需求，中标价格应分为主机价格及配件或配套软件价格两个部分，配件或功能模块的指导价的最高限价如何确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宁南县人民医院医学装备科联系人：范晟玮13981576626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以上情况，特此汇报。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 w:hAnsi="仿宋" w:eastAsia="仿宋" w:cs="仿宋"/>
          <w:sz w:val="32"/>
          <w:szCs w:val="40"/>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 w:hAnsi="仿宋" w:eastAsia="仿宋" w:cs="仿宋"/>
          <w:sz w:val="32"/>
          <w:szCs w:val="40"/>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宁南县人民医院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2022年9月19日</w:t>
      </w: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center"/>
        <w:rPr>
          <w:rFonts w:hint="eastAsia"/>
          <w:sz w:val="24"/>
          <w:szCs w:val="32"/>
          <w:lang w:val="en-US" w:eastAsia="zh-CN"/>
        </w:rPr>
      </w:pPr>
    </w:p>
    <w:p>
      <w:pPr>
        <w:numPr>
          <w:ilvl w:val="0"/>
          <w:numId w:val="0"/>
        </w:numPr>
        <w:tabs>
          <w:tab w:val="left" w:pos="5256"/>
        </w:tabs>
        <w:bidi w:val="0"/>
        <w:jc w:val="left"/>
        <w:rPr>
          <w:rFonts w:hint="eastAsia"/>
          <w:sz w:val="24"/>
          <w:szCs w:val="32"/>
          <w:lang w:val="en-US" w:eastAsia="zh-CN"/>
        </w:rPr>
      </w:pPr>
    </w:p>
    <w:p>
      <w:pPr>
        <w:numPr>
          <w:ilvl w:val="0"/>
          <w:numId w:val="0"/>
        </w:numPr>
        <w:tabs>
          <w:tab w:val="left" w:pos="5256"/>
        </w:tabs>
        <w:bidi w:val="0"/>
        <w:jc w:val="center"/>
        <w:rPr>
          <w:rFonts w:hint="default"/>
          <w:sz w:val="24"/>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sz w:val="24"/>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Fonts w:hint="eastAsia"/>
          <w:sz w:val="24"/>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Fonts w:hint="eastAsia"/>
          <w:sz w:val="24"/>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rPr>
          <w:rFonts w:hint="eastAsia"/>
          <w:sz w:val="24"/>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sz w:val="24"/>
          <w:szCs w:val="32"/>
          <w:lang w:val="en-US" w:eastAsia="zh-CN"/>
        </w:rPr>
      </w:pPr>
      <w:r>
        <w:rPr>
          <w:rFonts w:hint="eastAsia"/>
          <w:sz w:val="24"/>
          <w:szCs w:val="32"/>
          <w:lang w:val="en-US" w:eastAsia="zh-CN"/>
        </w:rPr>
        <w:t xml:space="preserve"> </w:t>
      </w:r>
    </w:p>
    <w:sectPr>
      <w:footerReference r:id="rId3" w:type="default"/>
      <w:pgSz w:w="11906" w:h="16838"/>
      <w:pgMar w:top="1440" w:right="17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271D7"/>
    <w:multiLevelType w:val="singleLevel"/>
    <w:tmpl w:val="4E8271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GYwNTVjNTkwNWEyYTlmN2Y1MTkxOWJkNTA3MGUifQ=="/>
  </w:docVars>
  <w:rsids>
    <w:rsidRoot w:val="19590D80"/>
    <w:rsid w:val="009B4966"/>
    <w:rsid w:val="00E86C3A"/>
    <w:rsid w:val="01A7022B"/>
    <w:rsid w:val="02AD2152"/>
    <w:rsid w:val="034E577F"/>
    <w:rsid w:val="041476CE"/>
    <w:rsid w:val="05480794"/>
    <w:rsid w:val="05DA09D2"/>
    <w:rsid w:val="05DB4947"/>
    <w:rsid w:val="070D6D82"/>
    <w:rsid w:val="07FE491D"/>
    <w:rsid w:val="084A7B62"/>
    <w:rsid w:val="0C0A3890"/>
    <w:rsid w:val="0C8A7E37"/>
    <w:rsid w:val="10321608"/>
    <w:rsid w:val="1103105B"/>
    <w:rsid w:val="13CB7DA9"/>
    <w:rsid w:val="17451C21"/>
    <w:rsid w:val="181A30AD"/>
    <w:rsid w:val="18317211"/>
    <w:rsid w:val="18BA03EC"/>
    <w:rsid w:val="19573E8D"/>
    <w:rsid w:val="19590D80"/>
    <w:rsid w:val="1A143B2C"/>
    <w:rsid w:val="1E023C37"/>
    <w:rsid w:val="1EE838F9"/>
    <w:rsid w:val="1FC95BCF"/>
    <w:rsid w:val="23BA5FCC"/>
    <w:rsid w:val="24245776"/>
    <w:rsid w:val="26306192"/>
    <w:rsid w:val="29424212"/>
    <w:rsid w:val="2A8D1AFD"/>
    <w:rsid w:val="2B367DA6"/>
    <w:rsid w:val="2BCC070B"/>
    <w:rsid w:val="2C9D5C03"/>
    <w:rsid w:val="30D065A7"/>
    <w:rsid w:val="324116A7"/>
    <w:rsid w:val="34DB376C"/>
    <w:rsid w:val="35766B71"/>
    <w:rsid w:val="3603588D"/>
    <w:rsid w:val="369A5E4E"/>
    <w:rsid w:val="370945C1"/>
    <w:rsid w:val="3A454E26"/>
    <w:rsid w:val="3B4736B1"/>
    <w:rsid w:val="3C26231C"/>
    <w:rsid w:val="3C7A386B"/>
    <w:rsid w:val="3D0F0457"/>
    <w:rsid w:val="3DE418E4"/>
    <w:rsid w:val="3E247F32"/>
    <w:rsid w:val="3E993CFA"/>
    <w:rsid w:val="3F104904"/>
    <w:rsid w:val="3F5D7BA0"/>
    <w:rsid w:val="40896772"/>
    <w:rsid w:val="409F74C9"/>
    <w:rsid w:val="416F5968"/>
    <w:rsid w:val="41C6551A"/>
    <w:rsid w:val="420936C7"/>
    <w:rsid w:val="431C567C"/>
    <w:rsid w:val="439F359F"/>
    <w:rsid w:val="45CC5137"/>
    <w:rsid w:val="46607F75"/>
    <w:rsid w:val="46F024C9"/>
    <w:rsid w:val="47BA3FE4"/>
    <w:rsid w:val="47EA3F9B"/>
    <w:rsid w:val="48A405ED"/>
    <w:rsid w:val="4AA2290B"/>
    <w:rsid w:val="4ACF58EC"/>
    <w:rsid w:val="4CCC7294"/>
    <w:rsid w:val="4D234D6F"/>
    <w:rsid w:val="4FD46876"/>
    <w:rsid w:val="53D01045"/>
    <w:rsid w:val="54977C01"/>
    <w:rsid w:val="57CF6D09"/>
    <w:rsid w:val="592F48AA"/>
    <w:rsid w:val="5A4606E1"/>
    <w:rsid w:val="5A9164F8"/>
    <w:rsid w:val="5A974484"/>
    <w:rsid w:val="5AC266B1"/>
    <w:rsid w:val="5B124E37"/>
    <w:rsid w:val="5BD6791D"/>
    <w:rsid w:val="5C7F2933"/>
    <w:rsid w:val="5D9505DB"/>
    <w:rsid w:val="5EE72B8A"/>
    <w:rsid w:val="5F2D1D08"/>
    <w:rsid w:val="5F3067BF"/>
    <w:rsid w:val="605E50CE"/>
    <w:rsid w:val="64D402A8"/>
    <w:rsid w:val="66285F62"/>
    <w:rsid w:val="66C13B98"/>
    <w:rsid w:val="688E5DAD"/>
    <w:rsid w:val="6A55309E"/>
    <w:rsid w:val="6A716C49"/>
    <w:rsid w:val="6AB46793"/>
    <w:rsid w:val="6BB06C15"/>
    <w:rsid w:val="6CA67BE1"/>
    <w:rsid w:val="6F81322D"/>
    <w:rsid w:val="6FA7614A"/>
    <w:rsid w:val="701E0CC4"/>
    <w:rsid w:val="70D96CB3"/>
    <w:rsid w:val="70F33611"/>
    <w:rsid w:val="721675B7"/>
    <w:rsid w:val="727B1B10"/>
    <w:rsid w:val="72AE36E4"/>
    <w:rsid w:val="731A6C33"/>
    <w:rsid w:val="746645FA"/>
    <w:rsid w:val="74B1272A"/>
    <w:rsid w:val="755177AC"/>
    <w:rsid w:val="77054586"/>
    <w:rsid w:val="78CC09CF"/>
    <w:rsid w:val="79BF2A55"/>
    <w:rsid w:val="79FB7128"/>
    <w:rsid w:val="7AA16ABA"/>
    <w:rsid w:val="7B3A4316"/>
    <w:rsid w:val="7BAC2C70"/>
    <w:rsid w:val="7C9932BE"/>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2062</Words>
  <Characters>2183</Characters>
  <Lines>0</Lines>
  <Paragraphs>0</Paragraphs>
  <TotalTime>0</TotalTime>
  <ScaleCrop>false</ScaleCrop>
  <LinksUpToDate>false</LinksUpToDate>
  <CharactersWithSpaces>2247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2022-09-19T02:27:00Z</dcterms:created>
  <dc:creator>范大姐</dc:creator>
  <cp:lastModifiedBy>范大姐</cp:lastModifiedBy>
  <dcterms:modified xsi:type="dcterms:W3CDTF">2022-09-19T07:43:45Z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C69EF4FC52B842CFB359C82C150E50BC</vt:lpwstr>
  </property>
</Properties>
</file>